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ascii="Times New Roman" w:hAnsi="Times New Roman"/>
          <w:b/>
          <w:sz w:val="28"/>
          <w:szCs w:val="28"/>
        </w:rPr>
      </w:pPr>
      <w:r>
        <w:rPr>
          <w:rFonts w:hint="eastAsia" w:ascii="Times New Roman"/>
          <w:b/>
          <w:sz w:val="28"/>
          <w:szCs w:val="28"/>
        </w:rPr>
        <w:t>东莞市</w:t>
      </w:r>
      <w:r>
        <w:rPr>
          <w:rFonts w:hint="eastAsia" w:ascii="Times New Roman"/>
          <w:b/>
          <w:sz w:val="28"/>
          <w:szCs w:val="28"/>
          <w:lang w:eastAsia="zh-CN"/>
        </w:rPr>
        <w:t>博利电业</w:t>
      </w:r>
      <w:r>
        <w:rPr>
          <w:rFonts w:hint="eastAsia" w:ascii="Times New Roman"/>
          <w:b/>
          <w:sz w:val="28"/>
          <w:szCs w:val="28"/>
        </w:rPr>
        <w:t>有限公司</w:t>
      </w:r>
      <w:r>
        <w:rPr>
          <w:rFonts w:hint="eastAsia" w:ascii="Times New Roman"/>
          <w:b/>
          <w:sz w:val="28"/>
          <w:szCs w:val="28"/>
          <w:lang w:eastAsia="zh-CN"/>
        </w:rPr>
        <w:t>建设</w:t>
      </w:r>
      <w:r>
        <w:rPr>
          <w:rFonts w:hint="eastAsia" w:ascii="Times New Roman"/>
          <w:b/>
          <w:sz w:val="28"/>
          <w:szCs w:val="28"/>
        </w:rPr>
        <w:t>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20</w:t>
      </w:r>
      <w:r>
        <w:rPr>
          <w:rFonts w:hint="eastAsia" w:ascii="Times New Roman"/>
          <w:sz w:val="24"/>
          <w:szCs w:val="24"/>
        </w:rPr>
        <w:t>年</w:t>
      </w:r>
      <w:r>
        <w:rPr>
          <w:rFonts w:hint="eastAsia" w:ascii="Times New Roman"/>
          <w:sz w:val="24"/>
          <w:szCs w:val="24"/>
          <w:lang w:val="en-US" w:eastAsia="zh-CN"/>
        </w:rPr>
        <w:t>2</w:t>
      </w:r>
      <w:r>
        <w:rPr>
          <w:rFonts w:hint="eastAsia" w:ascii="Times New Roman"/>
          <w:sz w:val="24"/>
          <w:szCs w:val="24"/>
        </w:rPr>
        <w:t>月</w:t>
      </w:r>
      <w:r>
        <w:rPr>
          <w:rFonts w:hint="eastAsia" w:ascii="Times New Roman"/>
          <w:sz w:val="24"/>
          <w:szCs w:val="24"/>
          <w:lang w:val="en-US" w:eastAsia="zh-CN"/>
        </w:rPr>
        <w:t>21</w:t>
      </w:r>
      <w:r>
        <w:rPr>
          <w:rFonts w:hint="eastAsia" w:ascii="Times New Roman"/>
          <w:sz w:val="24"/>
          <w:szCs w:val="24"/>
        </w:rPr>
        <w:t>日东莞市</w:t>
      </w:r>
      <w:r>
        <w:rPr>
          <w:rFonts w:hint="eastAsia" w:ascii="Times New Roman"/>
          <w:sz w:val="24"/>
          <w:szCs w:val="24"/>
          <w:lang w:eastAsia="zh-CN"/>
        </w:rPr>
        <w:t>博利电业</w:t>
      </w:r>
      <w:r>
        <w:rPr>
          <w:rFonts w:hint="eastAsia" w:ascii="Times New Roman"/>
          <w:sz w:val="24"/>
          <w:szCs w:val="24"/>
        </w:rPr>
        <w:t>有限公司根据东莞市</w:t>
      </w:r>
      <w:r>
        <w:rPr>
          <w:rFonts w:hint="eastAsia" w:ascii="Times New Roman"/>
          <w:sz w:val="24"/>
          <w:szCs w:val="24"/>
          <w:lang w:eastAsia="zh-CN"/>
        </w:rPr>
        <w:t>博利电业</w:t>
      </w:r>
      <w:r>
        <w:rPr>
          <w:rFonts w:hint="eastAsia" w:ascii="Times New Roman"/>
          <w:sz w:val="24"/>
          <w:szCs w:val="24"/>
        </w:rPr>
        <w:t>有限公司</w:t>
      </w:r>
      <w:r>
        <w:rPr>
          <w:rFonts w:hint="eastAsia" w:ascii="Times New Roman"/>
          <w:sz w:val="24"/>
          <w:szCs w:val="24"/>
          <w:lang w:eastAsia="zh-CN"/>
        </w:rPr>
        <w:t>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博利电业</w:t>
      </w:r>
      <w:r>
        <w:rPr>
          <w:rFonts w:hint="eastAsia" w:cs="Times New Roman"/>
        </w:rPr>
        <w:t>有限公司位于</w:t>
      </w:r>
      <w:r>
        <w:rPr>
          <w:rFonts w:hint="eastAsia" w:cs="Times New Roman"/>
          <w:color w:val="000000"/>
          <w:lang w:eastAsia="zh-CN"/>
        </w:rPr>
        <w:t>东莞市虎门镇龙眼十路</w:t>
      </w:r>
      <w:r>
        <w:rPr>
          <w:rFonts w:hint="eastAsia" w:cs="Times New Roman"/>
          <w:color w:val="000000"/>
          <w:lang w:val="en-US" w:eastAsia="zh-CN"/>
        </w:rPr>
        <w:t>51号</w:t>
      </w:r>
      <w:r>
        <w:rPr>
          <w:rFonts w:hint="eastAsia" w:cs="Times New Roman"/>
          <w:bCs/>
          <w:color w:val="000000"/>
        </w:rPr>
        <w:t>（北纬</w:t>
      </w:r>
      <w:r>
        <w:rPr>
          <w:rFonts w:cs="Times New Roman"/>
          <w:bCs/>
          <w:color w:val="000000"/>
        </w:rPr>
        <w:t>22°</w:t>
      </w:r>
      <w:r>
        <w:rPr>
          <w:rFonts w:hint="eastAsia" w:cs="Times New Roman"/>
          <w:bCs/>
          <w:color w:val="000000"/>
          <w:lang w:val="en-US" w:eastAsia="zh-CN"/>
        </w:rPr>
        <w:t>50</w:t>
      </w:r>
      <w:r>
        <w:rPr>
          <w:rFonts w:cs="Times New Roman"/>
          <w:bCs/>
          <w:color w:val="000000"/>
        </w:rPr>
        <w:t>′</w:t>
      </w:r>
      <w:r>
        <w:rPr>
          <w:rFonts w:hint="eastAsia" w:cs="Times New Roman"/>
          <w:bCs/>
          <w:color w:val="000000"/>
          <w:lang w:val="en-US" w:eastAsia="zh-CN"/>
        </w:rPr>
        <w:t>34.68</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41</w:t>
      </w:r>
      <w:r>
        <w:rPr>
          <w:rFonts w:cs="Times New Roman"/>
          <w:bCs/>
          <w:color w:val="000000"/>
        </w:rPr>
        <w:t>′</w:t>
      </w:r>
      <w:r>
        <w:rPr>
          <w:rFonts w:hint="eastAsia" w:cs="Times New Roman"/>
          <w:bCs/>
          <w:color w:val="000000"/>
          <w:lang w:val="en-US" w:eastAsia="zh-CN"/>
        </w:rPr>
        <w:t>45.34</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1500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3800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300</w:t>
      </w:r>
      <w:r>
        <w:rPr>
          <w:rFonts w:hint="eastAsia" w:cs="Times New Roman"/>
        </w:rPr>
        <w:t>万元，设有员工</w:t>
      </w:r>
      <w:r>
        <w:rPr>
          <w:rFonts w:hint="eastAsia" w:cs="Times New Roman"/>
          <w:lang w:val="en-US" w:eastAsia="zh-CN"/>
        </w:rPr>
        <w:t>70</w:t>
      </w:r>
      <w:r>
        <w:rPr>
          <w:rFonts w:hint="eastAsia" w:cs="Times New Roman"/>
        </w:rPr>
        <w:t>人，主要</w:t>
      </w:r>
      <w:r>
        <w:rPr>
          <w:rFonts w:hint="eastAsia" w:cs="Times New Roman"/>
          <w:lang w:eastAsia="zh-CN"/>
        </w:rPr>
        <w:t>加工生产电线</w:t>
      </w:r>
      <w:r>
        <w:rPr>
          <w:rFonts w:hint="eastAsia" w:cs="Times New Roman"/>
        </w:rPr>
        <w:t>，年</w:t>
      </w:r>
      <w:r>
        <w:rPr>
          <w:rFonts w:hint="eastAsia" w:cs="Times New Roman"/>
          <w:lang w:eastAsia="zh-CN"/>
        </w:rPr>
        <w:t>加工生产电线</w:t>
      </w:r>
      <w:r>
        <w:rPr>
          <w:rFonts w:hint="eastAsia" w:cs="Times New Roman"/>
          <w:lang w:val="en-US" w:eastAsia="zh-CN"/>
        </w:rPr>
        <w:t>200万米</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博利电业</w:t>
      </w:r>
      <w:r>
        <w:rPr>
          <w:rFonts w:hint="eastAsia" w:cs="Times New Roman"/>
          <w:color w:val="000000"/>
        </w:rPr>
        <w:t>有限公司于</w:t>
      </w:r>
      <w:r>
        <w:rPr>
          <w:rFonts w:cs="Times New Roman"/>
          <w:color w:val="000000"/>
        </w:rPr>
        <w:t>20</w:t>
      </w:r>
      <w:r>
        <w:rPr>
          <w:rFonts w:hint="eastAsia" w:cs="Times New Roman"/>
          <w:color w:val="000000"/>
          <w:lang w:val="en-US" w:eastAsia="zh-CN"/>
        </w:rPr>
        <w:t>19</w:t>
      </w:r>
      <w:r>
        <w:rPr>
          <w:rFonts w:hint="eastAsia" w:cs="Times New Roman"/>
          <w:color w:val="000000"/>
        </w:rPr>
        <w:t>年</w:t>
      </w:r>
      <w:r>
        <w:rPr>
          <w:rFonts w:hint="eastAsia" w:cs="Times New Roman"/>
          <w:color w:val="000000"/>
          <w:lang w:val="en-US" w:eastAsia="zh-CN"/>
        </w:rPr>
        <w:t>8</w:t>
      </w:r>
      <w:r>
        <w:rPr>
          <w:rFonts w:hint="eastAsia" w:cs="Times New Roman"/>
          <w:color w:val="000000"/>
        </w:rPr>
        <w:t>月委托</w:t>
      </w:r>
      <w:r>
        <w:rPr>
          <w:rFonts w:hint="eastAsia" w:cs="Times New Roman"/>
          <w:color w:val="000000"/>
          <w:lang w:eastAsia="zh-CN"/>
        </w:rPr>
        <w:t>东莞市新腾环保科技</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博利电业</w:t>
      </w:r>
      <w:r>
        <w:rPr>
          <w:rFonts w:hint="eastAsia" w:cs="Times New Roman"/>
          <w:color w:val="000000"/>
        </w:rPr>
        <w:t>有限公司建设项目环境影响报告表》，并通过了东莞市</w:t>
      </w:r>
      <w:r>
        <w:rPr>
          <w:rFonts w:hint="eastAsia" w:cs="Times New Roman"/>
          <w:color w:val="000000"/>
          <w:lang w:eastAsia="zh-CN"/>
        </w:rPr>
        <w:t>生态环境</w:t>
      </w:r>
      <w:r>
        <w:rPr>
          <w:rFonts w:hint="eastAsia" w:cs="Times New Roman"/>
          <w:color w:val="000000"/>
        </w:rPr>
        <w:t>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16855</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9</w:t>
      </w:r>
      <w:r>
        <w:rPr>
          <w:rFonts w:hint="eastAsia" w:ascii="Times New Roman"/>
          <w:sz w:val="24"/>
        </w:rPr>
        <w:t>月开工建设，已于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11</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hint="eastAsia" w:ascii="Times New Roman" w:hAnsi="Times New Roman"/>
          <w:sz w:val="24"/>
          <w:lang w:val="en-US" w:eastAsia="zh-CN"/>
        </w:rPr>
        <w:t>300</w:t>
      </w:r>
      <w:r>
        <w:rPr>
          <w:rFonts w:hint="eastAsia" w:ascii="Times New Roman"/>
          <w:sz w:val="24"/>
        </w:rPr>
        <w:t>万元，其中环保投资为</w:t>
      </w:r>
      <w:r>
        <w:rPr>
          <w:rFonts w:hint="eastAsia" w:ascii="Times New Roman" w:hAnsi="Times New Roman"/>
          <w:sz w:val="24"/>
          <w:lang w:val="en-US" w:eastAsia="zh-CN"/>
        </w:rPr>
        <w:t>7</w:t>
      </w:r>
      <w:r>
        <w:rPr>
          <w:rFonts w:hint="eastAsia" w:ascii="Times New Roman"/>
          <w:sz w:val="24"/>
        </w:rPr>
        <w:t>万元，占总投资的</w:t>
      </w:r>
      <w:r>
        <w:rPr>
          <w:rFonts w:hint="eastAsia" w:ascii="Times New Roman" w:hAnsi="Times New Roman"/>
          <w:sz w:val="24"/>
          <w:lang w:val="en-US" w:eastAsia="zh-CN"/>
        </w:rPr>
        <w:t>2.3</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w:t>
      </w:r>
      <w:r>
        <w:rPr>
          <w:rFonts w:hint="eastAsia" w:ascii="Times New Roman"/>
          <w:sz w:val="24"/>
          <w:szCs w:val="24"/>
          <w:lang w:eastAsia="zh-CN"/>
        </w:rPr>
        <w:t>范围</w:t>
      </w:r>
      <w:r>
        <w:rPr>
          <w:rFonts w:hint="eastAsia" w:ascii="Times New Roman"/>
          <w:sz w:val="24"/>
          <w:szCs w:val="24"/>
        </w:rPr>
        <w:t>为项目废气、废水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不排放生产性废水。冷却用水不添加任何药剂，循环使用，不外排。</w:t>
      </w:r>
    </w:p>
    <w:p>
      <w:pPr>
        <w:spacing w:line="360" w:lineRule="auto"/>
        <w:ind w:firstLine="480" w:firstLineChars="200"/>
        <w:rPr>
          <w:rFonts w:ascii="宋体" w:hAnsi="宋体" w:eastAsia="宋体" w:cs="宋体"/>
          <w:sz w:val="24"/>
          <w:szCs w:val="24"/>
        </w:rPr>
      </w:pPr>
      <w:r>
        <w:rPr>
          <w:rFonts w:hint="eastAsia" w:ascii="宋体" w:hAnsi="宋体" w:cs="宋体"/>
          <w:sz w:val="24"/>
          <w:szCs w:val="24"/>
          <w:lang w:eastAsia="zh-CN"/>
        </w:rPr>
        <w:t>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 xml:space="preserve">处理后达到广东省《水污染物排放限值》（DB44/26-2001）第二时段三级标准后排入市政截污管网，引至东莞市虎门宁洲污水处理厂处理。 </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hint="eastAsia" w:ascii="宋体" w:hAnsi="宋体" w:eastAsia="宋体" w:cs="宋体"/>
          <w:sz w:val="24"/>
          <w:szCs w:val="24"/>
          <w:lang w:eastAsia="zh-CN"/>
        </w:rPr>
      </w:pPr>
      <w:r>
        <w:rPr>
          <w:rFonts w:hint="eastAsia" w:ascii="Times New Roman" w:hAnsi="Times New Roman"/>
          <w:sz w:val="24"/>
          <w:szCs w:val="24"/>
        </w:rPr>
        <w:t>项目</w:t>
      </w:r>
      <w:r>
        <w:rPr>
          <w:rFonts w:ascii="宋体" w:hAnsi="宋体" w:eastAsia="宋体" w:cs="宋体"/>
          <w:sz w:val="24"/>
          <w:szCs w:val="24"/>
        </w:rPr>
        <w:t>焊接工序产生的废气经</w:t>
      </w:r>
      <w:r>
        <w:rPr>
          <w:rFonts w:hint="eastAsia" w:ascii="宋体" w:hAnsi="宋体" w:cs="宋体"/>
          <w:sz w:val="24"/>
          <w:szCs w:val="24"/>
          <w:lang w:eastAsia="zh-CN"/>
        </w:rPr>
        <w:t>集气装置</w:t>
      </w:r>
      <w:r>
        <w:rPr>
          <w:rFonts w:ascii="宋体" w:hAnsi="宋体" w:eastAsia="宋体" w:cs="宋体"/>
          <w:sz w:val="24"/>
          <w:szCs w:val="24"/>
        </w:rPr>
        <w:t>收集后</w:t>
      </w:r>
      <w:r>
        <w:rPr>
          <w:rFonts w:hint="eastAsia" w:ascii="宋体" w:hAnsi="宋体" w:cs="宋体"/>
          <w:sz w:val="24"/>
          <w:szCs w:val="24"/>
          <w:lang w:eastAsia="zh-CN"/>
        </w:rPr>
        <w:t>引至</w:t>
      </w:r>
      <w:r>
        <w:rPr>
          <w:rFonts w:ascii="宋体" w:hAnsi="宋体" w:eastAsia="宋体" w:cs="宋体"/>
          <w:sz w:val="24"/>
          <w:szCs w:val="24"/>
        </w:rPr>
        <w:t>高空排放，废气排放执行广东省《大气污染物排放限值》(DB44/27-2001)第二时段二级标准</w:t>
      </w:r>
      <w:r>
        <w:rPr>
          <w:rFonts w:hint="eastAsia" w:ascii="宋体" w:hAnsi="宋体" w:cs="宋体"/>
          <w:sz w:val="24"/>
          <w:szCs w:val="24"/>
          <w:lang w:eastAsia="zh-CN"/>
        </w:rPr>
        <w:t>。</w:t>
      </w:r>
    </w:p>
    <w:p>
      <w:pPr>
        <w:spacing w:line="360" w:lineRule="auto"/>
        <w:ind w:firstLine="480" w:firstLineChars="200"/>
        <w:outlineLvl w:val="0"/>
        <w:rPr>
          <w:rFonts w:hint="eastAsia" w:ascii="宋体" w:hAnsi="宋体" w:cs="宋体"/>
          <w:sz w:val="24"/>
          <w:szCs w:val="24"/>
          <w:lang w:eastAsia="zh-CN"/>
        </w:rPr>
      </w:pPr>
      <w:r>
        <w:rPr>
          <w:rFonts w:hint="eastAsia" w:ascii="宋体" w:hAnsi="宋体" w:cs="宋体"/>
          <w:sz w:val="24"/>
          <w:szCs w:val="24"/>
          <w:lang w:eastAsia="zh-CN"/>
        </w:rPr>
        <w:t>项目</w:t>
      </w:r>
      <w:r>
        <w:rPr>
          <w:rFonts w:ascii="宋体" w:hAnsi="宋体" w:eastAsia="宋体" w:cs="宋体"/>
          <w:sz w:val="24"/>
          <w:szCs w:val="24"/>
        </w:rPr>
        <w:t>上色、印字、烘烤工序</w:t>
      </w:r>
      <w:r>
        <w:rPr>
          <w:rFonts w:hint="eastAsia" w:ascii="宋体" w:hAnsi="宋体" w:cs="宋体"/>
          <w:sz w:val="24"/>
          <w:szCs w:val="24"/>
          <w:lang w:eastAsia="zh-CN"/>
        </w:rPr>
        <w:t>设置</w:t>
      </w:r>
      <w:r>
        <w:rPr>
          <w:rFonts w:ascii="宋体" w:hAnsi="宋体" w:eastAsia="宋体" w:cs="宋体"/>
          <w:sz w:val="24"/>
          <w:szCs w:val="24"/>
        </w:rPr>
        <w:t>在密闭车间内进行，产生的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配套处理设施处理后</w:t>
      </w:r>
      <w:r>
        <w:rPr>
          <w:rFonts w:hint="eastAsia" w:ascii="宋体" w:hAnsi="宋体" w:cs="宋体"/>
          <w:sz w:val="24"/>
          <w:szCs w:val="24"/>
          <w:lang w:eastAsia="zh-CN"/>
        </w:rPr>
        <w:t>引至</w:t>
      </w:r>
      <w:r>
        <w:rPr>
          <w:rFonts w:ascii="宋体" w:hAnsi="宋体" w:eastAsia="宋体" w:cs="宋体"/>
          <w:sz w:val="24"/>
          <w:szCs w:val="24"/>
        </w:rPr>
        <w:t>高空排放，</w:t>
      </w:r>
      <w:r>
        <w:rPr>
          <w:rFonts w:hint="eastAsia" w:ascii="宋体" w:hAnsi="宋体" w:cs="宋体"/>
          <w:sz w:val="24"/>
          <w:szCs w:val="24"/>
          <w:lang w:eastAsia="zh-CN"/>
        </w:rPr>
        <w:t>有机</w:t>
      </w:r>
      <w:r>
        <w:rPr>
          <w:rFonts w:ascii="宋体" w:hAnsi="宋体" w:eastAsia="宋体" w:cs="宋体"/>
          <w:sz w:val="24"/>
          <w:szCs w:val="24"/>
        </w:rPr>
        <w:t>废气排放执行广东省《家具制造行业挥发性有机化合物排放标准》（DB44/814-2010）第 II 时段排放限值和广东省《印刷行业挥发性有机化合物排放标准》（DB44/815-2010）第 II 时段排放限值中的较严值</w:t>
      </w:r>
      <w:r>
        <w:rPr>
          <w:rFonts w:hint="eastAsia" w:ascii="宋体" w:hAnsi="宋体" w:cs="宋体"/>
          <w:sz w:val="24"/>
          <w:szCs w:val="24"/>
          <w:lang w:eastAsia="zh-CN"/>
        </w:rPr>
        <w:t>。</w:t>
      </w:r>
    </w:p>
    <w:p>
      <w:pPr>
        <w:spacing w:line="360" w:lineRule="auto"/>
        <w:ind w:firstLine="480" w:firstLineChars="200"/>
        <w:outlineLvl w:val="0"/>
        <w:rPr>
          <w:rFonts w:ascii="宋体" w:hAnsi="宋体" w:eastAsia="宋体" w:cs="宋体"/>
          <w:sz w:val="24"/>
          <w:szCs w:val="24"/>
        </w:rPr>
      </w:pPr>
      <w:r>
        <w:rPr>
          <w:rFonts w:hint="eastAsia" w:ascii="宋体" w:hAnsi="宋体" w:cs="宋体"/>
          <w:sz w:val="24"/>
          <w:szCs w:val="24"/>
          <w:lang w:eastAsia="zh-CN"/>
        </w:rPr>
        <w:t>项目</w:t>
      </w:r>
      <w:r>
        <w:rPr>
          <w:rFonts w:ascii="宋体" w:hAnsi="宋体" w:eastAsia="宋体" w:cs="宋体"/>
          <w:sz w:val="24"/>
          <w:szCs w:val="24"/>
        </w:rPr>
        <w:t>押出、成型工序产生的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配套处理设施处理后</w:t>
      </w:r>
      <w:r>
        <w:rPr>
          <w:rFonts w:hint="eastAsia" w:ascii="宋体" w:hAnsi="宋体" w:cs="宋体"/>
          <w:sz w:val="24"/>
          <w:szCs w:val="24"/>
          <w:lang w:eastAsia="zh-CN"/>
        </w:rPr>
        <w:t>引至</w:t>
      </w:r>
      <w:r>
        <w:rPr>
          <w:rFonts w:ascii="宋体" w:hAnsi="宋体" w:eastAsia="宋体" w:cs="宋体"/>
          <w:sz w:val="24"/>
          <w:szCs w:val="24"/>
        </w:rPr>
        <w:t>高空排放，</w:t>
      </w:r>
      <w:r>
        <w:rPr>
          <w:rFonts w:hint="eastAsia" w:ascii="宋体" w:hAnsi="宋体" w:cs="宋体"/>
          <w:sz w:val="24"/>
          <w:szCs w:val="24"/>
          <w:lang w:eastAsia="zh-CN"/>
        </w:rPr>
        <w:t>有机</w:t>
      </w:r>
      <w:r>
        <w:rPr>
          <w:rFonts w:ascii="宋体" w:hAnsi="宋体" w:eastAsia="宋体" w:cs="宋体"/>
          <w:sz w:val="24"/>
          <w:szCs w:val="24"/>
        </w:rPr>
        <w:t>废气排放执行《合成树脂工业污染物排放标准》（GB31572-2015）表 4 大气污染物排放限值。</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0" w:firstLineChars="200"/>
        <w:rPr>
          <w:rFonts w:ascii="Times New Roman" w:hAnsi="Times New Roman"/>
          <w:b/>
          <w:sz w:val="24"/>
          <w:szCs w:val="24"/>
        </w:rPr>
      </w:pPr>
      <w:r>
        <w:rPr>
          <w:rFonts w:hint="eastAsia" w:ascii="Times New Roman" w:hAnsi="Times New Roman"/>
          <w:sz w:val="24"/>
          <w:szCs w:val="24"/>
        </w:rPr>
        <w:t>根据</w:t>
      </w:r>
      <w:r>
        <w:rPr>
          <w:rFonts w:hint="eastAsia" w:ascii="Times New Roman" w:hAnsi="Times New Roman"/>
          <w:sz w:val="24"/>
          <w:szCs w:val="24"/>
          <w:highlight w:val="none"/>
          <w:lang w:eastAsia="zh-CN"/>
        </w:rPr>
        <w:t>东莞市三谱检测技术有限公司</w:t>
      </w:r>
      <w:r>
        <w:rPr>
          <w:rFonts w:hint="eastAsia" w:ascii="Times New Roman" w:hAnsi="Times New Roman"/>
          <w:sz w:val="24"/>
          <w:szCs w:val="24"/>
        </w:rPr>
        <w:t>出具的验收检测报告（监测报告</w:t>
      </w:r>
      <w:r>
        <w:rPr>
          <w:rFonts w:hint="eastAsia" w:ascii="Times New Roman" w:hAnsi="Times New Roman"/>
          <w:sz w:val="24"/>
          <w:szCs w:val="24"/>
          <w:lang w:val="en-US" w:eastAsia="zh-CN"/>
        </w:rPr>
        <w:t xml:space="preserve"> </w:t>
      </w:r>
      <w:r>
        <w:rPr>
          <w:rFonts w:hint="eastAsia" w:ascii="宋体" w:hAnsi="宋体" w:cs="宋体"/>
          <w:sz w:val="24"/>
          <w:szCs w:val="24"/>
          <w:lang w:eastAsia="zh-CN"/>
        </w:rPr>
        <w:t>三谱</w:t>
      </w:r>
      <w:r>
        <w:rPr>
          <w:rFonts w:hint="eastAsia" w:ascii="宋体" w:hAnsi="宋体" w:eastAsia="宋体" w:cs="宋体"/>
          <w:sz w:val="24"/>
          <w:szCs w:val="24"/>
        </w:rPr>
        <w:t>（验字）</w:t>
      </w:r>
      <w:r>
        <w:rPr>
          <w:rFonts w:hint="eastAsia" w:ascii="宋体" w:hAnsi="宋体" w:cs="宋体"/>
          <w:sz w:val="24"/>
          <w:szCs w:val="24"/>
          <w:lang w:eastAsia="zh-CN"/>
        </w:rPr>
        <w:t>第【</w:t>
      </w:r>
      <w:r>
        <w:rPr>
          <w:rFonts w:hint="eastAsia" w:ascii="宋体" w:hAnsi="宋体" w:cs="宋体"/>
          <w:sz w:val="24"/>
          <w:szCs w:val="24"/>
          <w:lang w:val="en-US" w:eastAsia="zh-CN"/>
        </w:rPr>
        <w:t>SPJC20200107004</w:t>
      </w:r>
      <w:r>
        <w:rPr>
          <w:rFonts w:hint="eastAsia" w:ascii="宋体" w:hAnsi="宋体" w:cs="宋体"/>
          <w:sz w:val="24"/>
          <w:szCs w:val="24"/>
          <w:lang w:eastAsia="zh-CN"/>
        </w:rPr>
        <w:t>】号</w:t>
      </w:r>
      <w:r>
        <w:rPr>
          <w:rFonts w:hint="eastAsia" w:ascii="Times New Roman" w:hAnsi="Times New Roman"/>
          <w:sz w:val="24"/>
          <w:szCs w:val="24"/>
        </w:rPr>
        <w:t>），监测期间，工况稳定，生产负荷在</w:t>
      </w:r>
      <w:r>
        <w:rPr>
          <w:rFonts w:hint="eastAsia" w:ascii="Times New Roman" w:hAnsi="Times New Roman"/>
          <w:sz w:val="24"/>
          <w:szCs w:val="24"/>
          <w:lang w:val="en-US" w:eastAsia="zh-CN"/>
        </w:rPr>
        <w:t>8</w:t>
      </w:r>
      <w:r>
        <w:rPr>
          <w:rFonts w:ascii="Times New Roman" w:hAnsi="Times New Roman"/>
          <w:sz w:val="24"/>
          <w:szCs w:val="24"/>
        </w:rPr>
        <w:t>5%</w:t>
      </w:r>
      <w:r>
        <w:rPr>
          <w:rFonts w:hint="eastAsia" w:ascii="Times New Roman" w:hAnsi="Times New Roman"/>
          <w:sz w:val="24"/>
          <w:szCs w:val="24"/>
        </w:rPr>
        <w:t>以上，符合验收要求。</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不排放生产性废水。冷却用水不添加任何药剂，循环使用，不外排。</w:t>
      </w:r>
    </w:p>
    <w:p>
      <w:pPr>
        <w:spacing w:line="360" w:lineRule="auto"/>
        <w:ind w:firstLine="480" w:firstLineChars="200"/>
        <w:rPr>
          <w:rFonts w:ascii="宋体" w:hAnsi="宋体" w:eastAsia="宋体" w:cs="宋体"/>
          <w:sz w:val="24"/>
          <w:szCs w:val="24"/>
        </w:rPr>
      </w:pPr>
      <w:r>
        <w:rPr>
          <w:rFonts w:hint="eastAsia" w:ascii="宋体" w:hAnsi="宋体" w:cs="宋体"/>
          <w:sz w:val="24"/>
          <w:szCs w:val="24"/>
          <w:lang w:eastAsia="zh-CN"/>
        </w:rPr>
        <w:t>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 xml:space="preserve">处理后达到广东省《水污染物排放限值》（DB44/26-2001）第二时段三级标准后排入市政截污管网，引至东莞市虎门宁洲污水处理厂处理。 </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eastAsia" w:ascii="宋体" w:hAnsi="宋体" w:eastAsia="宋体" w:cs="宋体"/>
          <w:sz w:val="24"/>
          <w:szCs w:val="24"/>
          <w:lang w:eastAsia="zh-CN"/>
        </w:rPr>
      </w:pPr>
      <w:r>
        <w:rPr>
          <w:rFonts w:hint="eastAsia" w:ascii="Times New Roman" w:hAnsi="Times New Roman"/>
          <w:sz w:val="24"/>
          <w:szCs w:val="24"/>
        </w:rPr>
        <w:t>项目</w:t>
      </w:r>
      <w:r>
        <w:rPr>
          <w:rFonts w:ascii="宋体" w:hAnsi="宋体" w:eastAsia="宋体" w:cs="宋体"/>
          <w:sz w:val="24"/>
          <w:szCs w:val="24"/>
        </w:rPr>
        <w:t>焊接工序产生的废气经</w:t>
      </w:r>
      <w:r>
        <w:rPr>
          <w:rFonts w:hint="eastAsia" w:ascii="宋体" w:hAnsi="宋体" w:cs="宋体"/>
          <w:sz w:val="24"/>
          <w:szCs w:val="24"/>
          <w:lang w:eastAsia="zh-CN"/>
        </w:rPr>
        <w:t>集气装置</w:t>
      </w:r>
      <w:r>
        <w:rPr>
          <w:rFonts w:ascii="宋体" w:hAnsi="宋体" w:eastAsia="宋体" w:cs="宋体"/>
          <w:sz w:val="24"/>
          <w:szCs w:val="24"/>
        </w:rPr>
        <w:t>收集后</w:t>
      </w:r>
      <w:r>
        <w:rPr>
          <w:rFonts w:hint="eastAsia" w:ascii="宋体" w:hAnsi="宋体" w:cs="宋体"/>
          <w:sz w:val="24"/>
          <w:szCs w:val="24"/>
          <w:lang w:eastAsia="zh-CN"/>
        </w:rPr>
        <w:t>引至</w:t>
      </w:r>
      <w:r>
        <w:rPr>
          <w:rFonts w:ascii="宋体" w:hAnsi="宋体" w:eastAsia="宋体" w:cs="宋体"/>
          <w:sz w:val="24"/>
          <w:szCs w:val="24"/>
        </w:rPr>
        <w:t>高空排放，废气排放</w:t>
      </w:r>
      <w:r>
        <w:rPr>
          <w:rFonts w:hint="eastAsia" w:ascii="宋体" w:hAnsi="宋体" w:cs="宋体"/>
          <w:sz w:val="24"/>
          <w:szCs w:val="24"/>
          <w:lang w:eastAsia="zh-CN"/>
        </w:rPr>
        <w:t>达到</w:t>
      </w:r>
      <w:r>
        <w:rPr>
          <w:rFonts w:ascii="宋体" w:hAnsi="宋体" w:eastAsia="宋体" w:cs="宋体"/>
          <w:sz w:val="24"/>
          <w:szCs w:val="24"/>
        </w:rPr>
        <w:t>广东省《大气污染物排放限值》(DB44/27-2001)第二时段二级标准</w:t>
      </w:r>
      <w:r>
        <w:rPr>
          <w:rFonts w:hint="eastAsia" w:ascii="宋体" w:hAnsi="宋体" w:cs="宋体"/>
          <w:sz w:val="24"/>
          <w:szCs w:val="24"/>
          <w:lang w:eastAsia="zh-CN"/>
        </w:rPr>
        <w:t>。</w:t>
      </w:r>
      <w:r>
        <w:rPr>
          <w:rFonts w:hint="eastAsia" w:ascii="Times New Roman" w:hAnsi="Times New Roman"/>
          <w:sz w:val="24"/>
          <w:szCs w:val="24"/>
        </w:rPr>
        <w:t>见监测报告</w:t>
      </w:r>
      <w:r>
        <w:rPr>
          <w:rFonts w:hint="eastAsia" w:ascii="Times New Roman" w:hAnsi="Times New Roman"/>
          <w:sz w:val="24"/>
          <w:szCs w:val="24"/>
          <w:lang w:val="en-US" w:eastAsia="zh-CN"/>
        </w:rPr>
        <w:t xml:space="preserve"> </w:t>
      </w:r>
      <w:r>
        <w:rPr>
          <w:rFonts w:hint="eastAsia" w:ascii="宋体" w:hAnsi="宋体" w:cs="宋体"/>
          <w:sz w:val="24"/>
          <w:szCs w:val="24"/>
          <w:lang w:eastAsia="zh-CN"/>
        </w:rPr>
        <w:t>三谱</w:t>
      </w:r>
      <w:r>
        <w:rPr>
          <w:rFonts w:hint="eastAsia" w:ascii="宋体" w:hAnsi="宋体" w:eastAsia="宋体" w:cs="宋体"/>
          <w:sz w:val="24"/>
          <w:szCs w:val="24"/>
        </w:rPr>
        <w:t>（验字）</w:t>
      </w:r>
      <w:r>
        <w:rPr>
          <w:rFonts w:hint="eastAsia" w:ascii="宋体" w:hAnsi="宋体" w:cs="宋体"/>
          <w:sz w:val="24"/>
          <w:szCs w:val="24"/>
          <w:lang w:eastAsia="zh-CN"/>
        </w:rPr>
        <w:t>第【</w:t>
      </w:r>
      <w:r>
        <w:rPr>
          <w:rFonts w:hint="eastAsia" w:ascii="宋体" w:hAnsi="宋体" w:cs="宋体"/>
          <w:sz w:val="24"/>
          <w:szCs w:val="24"/>
          <w:lang w:val="en-US" w:eastAsia="zh-CN"/>
        </w:rPr>
        <w:t>SPJC20200107004</w:t>
      </w:r>
      <w:r>
        <w:rPr>
          <w:rFonts w:hint="eastAsia" w:ascii="宋体" w:hAnsi="宋体" w:cs="宋体"/>
          <w:sz w:val="24"/>
          <w:szCs w:val="24"/>
          <w:lang w:eastAsia="zh-CN"/>
        </w:rPr>
        <w:t>】号</w:t>
      </w:r>
    </w:p>
    <w:p>
      <w:pPr>
        <w:spacing w:line="360" w:lineRule="auto"/>
        <w:ind w:firstLine="480" w:firstLineChars="200"/>
        <w:outlineLvl w:val="0"/>
        <w:rPr>
          <w:rFonts w:hint="eastAsia" w:ascii="宋体" w:hAnsi="宋体" w:eastAsia="宋体" w:cs="宋体"/>
          <w:sz w:val="24"/>
          <w:szCs w:val="24"/>
          <w:lang w:eastAsia="zh-CN"/>
        </w:rPr>
      </w:pPr>
      <w:r>
        <w:rPr>
          <w:rFonts w:hint="eastAsia" w:ascii="宋体" w:hAnsi="宋体" w:cs="宋体"/>
          <w:sz w:val="24"/>
          <w:szCs w:val="24"/>
          <w:lang w:eastAsia="zh-CN"/>
        </w:rPr>
        <w:t>项目</w:t>
      </w:r>
      <w:r>
        <w:rPr>
          <w:rFonts w:ascii="宋体" w:hAnsi="宋体" w:eastAsia="宋体" w:cs="宋体"/>
          <w:sz w:val="24"/>
          <w:szCs w:val="24"/>
        </w:rPr>
        <w:t>上色、印字、烘烤工序</w:t>
      </w:r>
      <w:r>
        <w:rPr>
          <w:rFonts w:hint="eastAsia" w:ascii="宋体" w:hAnsi="宋体" w:cs="宋体"/>
          <w:sz w:val="24"/>
          <w:szCs w:val="24"/>
          <w:lang w:eastAsia="zh-CN"/>
        </w:rPr>
        <w:t>设置</w:t>
      </w:r>
      <w:r>
        <w:rPr>
          <w:rFonts w:ascii="宋体" w:hAnsi="宋体" w:eastAsia="宋体" w:cs="宋体"/>
          <w:sz w:val="24"/>
          <w:szCs w:val="24"/>
        </w:rPr>
        <w:t>在密闭车间内进行，产生的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配套处理设施处理后</w:t>
      </w:r>
      <w:r>
        <w:rPr>
          <w:rFonts w:hint="eastAsia" w:ascii="宋体" w:hAnsi="宋体" w:cs="宋体"/>
          <w:sz w:val="24"/>
          <w:szCs w:val="24"/>
          <w:lang w:eastAsia="zh-CN"/>
        </w:rPr>
        <w:t>引至</w:t>
      </w:r>
      <w:r>
        <w:rPr>
          <w:rFonts w:ascii="宋体" w:hAnsi="宋体" w:eastAsia="宋体" w:cs="宋体"/>
          <w:sz w:val="24"/>
          <w:szCs w:val="24"/>
        </w:rPr>
        <w:t>高空排放，</w:t>
      </w:r>
      <w:r>
        <w:rPr>
          <w:rFonts w:hint="eastAsia" w:ascii="宋体" w:hAnsi="宋体" w:cs="宋体"/>
          <w:sz w:val="24"/>
          <w:szCs w:val="24"/>
          <w:lang w:eastAsia="zh-CN"/>
        </w:rPr>
        <w:t>有机</w:t>
      </w:r>
      <w:r>
        <w:rPr>
          <w:rFonts w:ascii="宋体" w:hAnsi="宋体" w:eastAsia="宋体" w:cs="宋体"/>
          <w:sz w:val="24"/>
          <w:szCs w:val="24"/>
        </w:rPr>
        <w:t>废气排放</w:t>
      </w:r>
      <w:r>
        <w:rPr>
          <w:rFonts w:hint="eastAsia" w:ascii="宋体" w:hAnsi="宋体" w:cs="宋体"/>
          <w:sz w:val="24"/>
          <w:szCs w:val="24"/>
          <w:lang w:eastAsia="zh-CN"/>
        </w:rPr>
        <w:t>达到</w:t>
      </w:r>
      <w:r>
        <w:rPr>
          <w:rFonts w:ascii="宋体" w:hAnsi="宋体" w:eastAsia="宋体" w:cs="宋体"/>
          <w:sz w:val="24"/>
          <w:szCs w:val="24"/>
        </w:rPr>
        <w:t>广东省《家具制造行业挥发性有机化合物排放标准》（DB44/814-2010）第 II 时段排放限值和广东省《印刷行业挥发性有机化合物排放标准》（DB44/815-2010）第 II 时段排放限值中的较严值</w:t>
      </w:r>
      <w:r>
        <w:rPr>
          <w:rFonts w:hint="eastAsia" w:ascii="宋体" w:hAnsi="宋体" w:cs="宋体"/>
          <w:sz w:val="24"/>
          <w:szCs w:val="24"/>
          <w:lang w:eastAsia="zh-CN"/>
        </w:rPr>
        <w:t>。</w:t>
      </w:r>
      <w:r>
        <w:rPr>
          <w:rFonts w:hint="eastAsia" w:ascii="Times New Roman" w:hAnsi="Times New Roman"/>
          <w:sz w:val="24"/>
          <w:szCs w:val="24"/>
        </w:rPr>
        <w:t>见监测报告</w:t>
      </w:r>
      <w:r>
        <w:rPr>
          <w:rFonts w:hint="eastAsia" w:ascii="Times New Roman" w:hAnsi="Times New Roman"/>
          <w:sz w:val="24"/>
          <w:szCs w:val="24"/>
          <w:lang w:val="en-US" w:eastAsia="zh-CN"/>
        </w:rPr>
        <w:t xml:space="preserve"> </w:t>
      </w:r>
      <w:r>
        <w:rPr>
          <w:rFonts w:hint="eastAsia" w:ascii="宋体" w:hAnsi="宋体" w:cs="宋体"/>
          <w:sz w:val="24"/>
          <w:szCs w:val="24"/>
          <w:lang w:eastAsia="zh-CN"/>
        </w:rPr>
        <w:t>三谱</w:t>
      </w:r>
      <w:r>
        <w:rPr>
          <w:rFonts w:hint="eastAsia" w:ascii="宋体" w:hAnsi="宋体" w:eastAsia="宋体" w:cs="宋体"/>
          <w:sz w:val="24"/>
          <w:szCs w:val="24"/>
        </w:rPr>
        <w:t>（验字）</w:t>
      </w:r>
      <w:r>
        <w:rPr>
          <w:rFonts w:hint="eastAsia" w:ascii="宋体" w:hAnsi="宋体" w:cs="宋体"/>
          <w:sz w:val="24"/>
          <w:szCs w:val="24"/>
          <w:lang w:eastAsia="zh-CN"/>
        </w:rPr>
        <w:t>第【</w:t>
      </w:r>
      <w:r>
        <w:rPr>
          <w:rFonts w:hint="eastAsia" w:ascii="宋体" w:hAnsi="宋体" w:cs="宋体"/>
          <w:sz w:val="24"/>
          <w:szCs w:val="24"/>
          <w:lang w:val="en-US" w:eastAsia="zh-CN"/>
        </w:rPr>
        <w:t>SPJC20200107004</w:t>
      </w:r>
      <w:r>
        <w:rPr>
          <w:rFonts w:hint="eastAsia" w:ascii="宋体" w:hAnsi="宋体" w:cs="宋体"/>
          <w:sz w:val="24"/>
          <w:szCs w:val="24"/>
          <w:lang w:eastAsia="zh-CN"/>
        </w:rPr>
        <w:t>】号</w:t>
      </w:r>
    </w:p>
    <w:p>
      <w:pPr>
        <w:spacing w:line="360" w:lineRule="auto"/>
        <w:ind w:firstLine="480" w:firstLineChars="200"/>
        <w:outlineLvl w:val="0"/>
        <w:rPr>
          <w:rFonts w:hint="default" w:ascii="宋体" w:hAnsi="宋体" w:eastAsia="宋体" w:cs="宋体"/>
          <w:sz w:val="24"/>
          <w:szCs w:val="24"/>
          <w:lang w:val="en-US" w:eastAsia="zh-CN"/>
        </w:rPr>
      </w:pPr>
      <w:r>
        <w:rPr>
          <w:rFonts w:hint="eastAsia" w:ascii="宋体" w:hAnsi="宋体" w:cs="宋体"/>
          <w:sz w:val="24"/>
          <w:szCs w:val="24"/>
          <w:lang w:eastAsia="zh-CN"/>
        </w:rPr>
        <w:t>项目</w:t>
      </w:r>
      <w:r>
        <w:rPr>
          <w:rFonts w:ascii="宋体" w:hAnsi="宋体" w:eastAsia="宋体" w:cs="宋体"/>
          <w:sz w:val="24"/>
          <w:szCs w:val="24"/>
        </w:rPr>
        <w:t>押出、成型工序产生的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配套处理设施处理后</w:t>
      </w:r>
      <w:r>
        <w:rPr>
          <w:rFonts w:hint="eastAsia" w:ascii="宋体" w:hAnsi="宋体" w:cs="宋体"/>
          <w:sz w:val="24"/>
          <w:szCs w:val="24"/>
          <w:lang w:eastAsia="zh-CN"/>
        </w:rPr>
        <w:t>引至</w:t>
      </w:r>
      <w:r>
        <w:rPr>
          <w:rFonts w:ascii="宋体" w:hAnsi="宋体" w:eastAsia="宋体" w:cs="宋体"/>
          <w:sz w:val="24"/>
          <w:szCs w:val="24"/>
        </w:rPr>
        <w:t>高空排放，</w:t>
      </w:r>
      <w:r>
        <w:rPr>
          <w:rFonts w:hint="eastAsia" w:ascii="宋体" w:hAnsi="宋体" w:cs="宋体"/>
          <w:sz w:val="24"/>
          <w:szCs w:val="24"/>
          <w:lang w:eastAsia="zh-CN"/>
        </w:rPr>
        <w:t>有机</w:t>
      </w:r>
      <w:r>
        <w:rPr>
          <w:rFonts w:ascii="宋体" w:hAnsi="宋体" w:eastAsia="宋体" w:cs="宋体"/>
          <w:sz w:val="24"/>
          <w:szCs w:val="24"/>
        </w:rPr>
        <w:t>废气排放</w:t>
      </w:r>
      <w:r>
        <w:rPr>
          <w:rFonts w:hint="eastAsia" w:ascii="宋体" w:hAnsi="宋体" w:cs="宋体"/>
          <w:sz w:val="24"/>
          <w:szCs w:val="24"/>
          <w:lang w:eastAsia="zh-CN"/>
        </w:rPr>
        <w:t>达到</w:t>
      </w:r>
      <w:r>
        <w:rPr>
          <w:rFonts w:ascii="宋体" w:hAnsi="宋体" w:eastAsia="宋体" w:cs="宋体"/>
          <w:sz w:val="24"/>
          <w:szCs w:val="24"/>
        </w:rPr>
        <w:t>《合成树脂工业污染物排放标准》（GB31572-2015）表 4 大气污染物排放限值。</w:t>
      </w:r>
      <w:r>
        <w:rPr>
          <w:rFonts w:hint="eastAsia" w:ascii="Times New Roman" w:hAnsi="Times New Roman"/>
          <w:sz w:val="24"/>
          <w:szCs w:val="24"/>
        </w:rPr>
        <w:t>见监测报告</w:t>
      </w:r>
      <w:r>
        <w:rPr>
          <w:rFonts w:hint="eastAsia" w:ascii="Times New Roman" w:hAnsi="Times New Roman"/>
          <w:sz w:val="24"/>
          <w:szCs w:val="24"/>
          <w:lang w:val="en-US" w:eastAsia="zh-CN"/>
        </w:rPr>
        <w:t xml:space="preserve"> </w:t>
      </w:r>
      <w:r>
        <w:rPr>
          <w:rFonts w:hint="eastAsia" w:ascii="宋体" w:hAnsi="宋体" w:cs="宋体"/>
          <w:sz w:val="24"/>
          <w:szCs w:val="24"/>
          <w:lang w:eastAsia="zh-CN"/>
        </w:rPr>
        <w:t>三谱</w:t>
      </w:r>
      <w:r>
        <w:rPr>
          <w:rFonts w:hint="eastAsia" w:ascii="宋体" w:hAnsi="宋体" w:eastAsia="宋体" w:cs="宋体"/>
          <w:sz w:val="24"/>
          <w:szCs w:val="24"/>
        </w:rPr>
        <w:t>（验字）</w:t>
      </w:r>
      <w:r>
        <w:rPr>
          <w:rFonts w:hint="eastAsia" w:ascii="宋体" w:hAnsi="宋体" w:cs="宋体"/>
          <w:sz w:val="24"/>
          <w:szCs w:val="24"/>
          <w:lang w:eastAsia="zh-CN"/>
        </w:rPr>
        <w:t>第【</w:t>
      </w:r>
      <w:r>
        <w:rPr>
          <w:rFonts w:hint="eastAsia" w:ascii="宋体" w:hAnsi="宋体" w:cs="宋体"/>
          <w:sz w:val="24"/>
          <w:szCs w:val="24"/>
          <w:lang w:val="en-US" w:eastAsia="zh-CN"/>
        </w:rPr>
        <w:t>SPJC20200107004</w:t>
      </w:r>
      <w:r>
        <w:rPr>
          <w:rFonts w:hint="eastAsia" w:ascii="宋体" w:hAnsi="宋体" w:cs="宋体"/>
          <w:sz w:val="24"/>
          <w:szCs w:val="24"/>
          <w:lang w:eastAsia="zh-CN"/>
        </w:rPr>
        <w:t>】号</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eastAsia" w:ascii="宋体" w:hAnsi="宋体" w:eastAsia="宋体" w:cs="宋体"/>
          <w:sz w:val="24"/>
          <w:szCs w:val="24"/>
          <w:lang w:eastAsia="zh-CN"/>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类标准。见监测报告</w:t>
      </w:r>
      <w:r>
        <w:rPr>
          <w:rFonts w:hint="eastAsia" w:ascii="Times New Roman" w:hAnsi="Times New Roman"/>
          <w:sz w:val="24"/>
          <w:szCs w:val="24"/>
          <w:lang w:val="en-US" w:eastAsia="zh-CN"/>
        </w:rPr>
        <w:t xml:space="preserve"> </w:t>
      </w:r>
      <w:r>
        <w:rPr>
          <w:rFonts w:hint="eastAsia" w:ascii="宋体" w:hAnsi="宋体" w:cs="宋体"/>
          <w:sz w:val="24"/>
          <w:szCs w:val="24"/>
          <w:lang w:eastAsia="zh-CN"/>
        </w:rPr>
        <w:t>三谱</w:t>
      </w:r>
      <w:r>
        <w:rPr>
          <w:rFonts w:hint="eastAsia" w:ascii="宋体" w:hAnsi="宋体" w:eastAsia="宋体" w:cs="宋体"/>
          <w:sz w:val="24"/>
          <w:szCs w:val="24"/>
        </w:rPr>
        <w:t>（验字）</w:t>
      </w:r>
      <w:r>
        <w:rPr>
          <w:rFonts w:hint="eastAsia" w:ascii="宋体" w:hAnsi="宋体" w:cs="宋体"/>
          <w:sz w:val="24"/>
          <w:szCs w:val="24"/>
          <w:lang w:eastAsia="zh-CN"/>
        </w:rPr>
        <w:t>第【</w:t>
      </w:r>
      <w:r>
        <w:rPr>
          <w:rFonts w:hint="eastAsia" w:ascii="宋体" w:hAnsi="宋体" w:cs="宋体"/>
          <w:sz w:val="24"/>
          <w:szCs w:val="24"/>
          <w:lang w:val="en-US" w:eastAsia="zh-CN"/>
        </w:rPr>
        <w:t>SPJC20200107004</w:t>
      </w:r>
      <w:r>
        <w:rPr>
          <w:rFonts w:hint="eastAsia" w:ascii="宋体" w:hAnsi="宋体" w:cs="宋体"/>
          <w:sz w:val="24"/>
          <w:szCs w:val="24"/>
          <w:lang w:eastAsia="zh-CN"/>
        </w:rPr>
        <w:t>】号</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pStyle w:val="3"/>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东莞市博利电业有限公司</w:t>
      </w:r>
      <w:r>
        <w:rPr>
          <w:rFonts w:hint="eastAsia" w:ascii="Times New Roman"/>
          <w:sz w:val="24"/>
          <w:szCs w:val="24"/>
        </w:rPr>
        <w:t>建设</w:t>
      </w:r>
      <w:r>
        <w:rPr>
          <w:rFonts w:hint="eastAsia" w:ascii="Times New Roman" w:hAnsi="Times New Roman"/>
          <w:sz w:val="24"/>
          <w:szCs w:val="24"/>
        </w:rPr>
        <w:t>项目落实了相关的污染治理措施，各污染物均实现达标排放，对周边环境的影响不大。</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w:t>
      </w:r>
      <w:r>
        <w:rPr>
          <w:rFonts w:hint="eastAsia" w:ascii="Times New Roman" w:hAnsi="Times New Roman"/>
          <w:sz w:val="24"/>
          <w:szCs w:val="24"/>
          <w:lang w:eastAsia="zh-CN"/>
        </w:rPr>
        <w:t>同意</w:t>
      </w:r>
      <w:r>
        <w:rPr>
          <w:rFonts w:hint="eastAsia" w:ascii="Times New Roman" w:hAnsi="Times New Roman"/>
          <w:sz w:val="24"/>
          <w:szCs w:val="24"/>
        </w:rPr>
        <w:t>项目</w:t>
      </w:r>
      <w:r>
        <w:rPr>
          <w:rFonts w:hint="eastAsia" w:ascii="Times New Roman" w:hAnsi="Times New Roman"/>
          <w:sz w:val="24"/>
          <w:szCs w:val="24"/>
          <w:lang w:eastAsia="zh-CN"/>
        </w:rPr>
        <w:t>废水、废气、噪声污染防治设施通过验收</w:t>
      </w:r>
      <w:r>
        <w:rPr>
          <w:rFonts w:hint="eastAsia" w:ascii="Times New Roman" w:hAnsi="Times New Roman"/>
          <w:sz w:val="24"/>
          <w:szCs w:val="24"/>
        </w:rPr>
        <w:t>。</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00" w:themeColor="text1"/>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博利电业</w:t>
      </w:r>
      <w:r>
        <w:rPr>
          <w:rFonts w:hint="eastAsia" w:ascii="Times New Roman" w:hAnsi="Times New Roman"/>
          <w:sz w:val="24"/>
          <w:szCs w:val="24"/>
        </w:rPr>
        <w:t>有限公司</w:t>
      </w:r>
    </w:p>
    <w:p>
      <w:pPr>
        <w:wordWrap w:val="0"/>
        <w:spacing w:line="360" w:lineRule="auto"/>
        <w:ind w:firstLine="480" w:firstLineChars="200"/>
        <w:jc w:val="right"/>
        <w:rPr>
          <w:rFonts w:hint="default" w:ascii="Times New Roman" w:hAnsi="Times New Roman"/>
          <w:b/>
          <w:sz w:val="28"/>
          <w:szCs w:val="28"/>
          <w:lang w:val="en-US"/>
        </w:rPr>
      </w:pPr>
      <w:r>
        <w:rPr>
          <w:rFonts w:ascii="Times New Roman" w:hAnsi="Times New Roman"/>
          <w:sz w:val="24"/>
          <w:szCs w:val="24"/>
        </w:rPr>
        <w:t>20</w:t>
      </w:r>
      <w:r>
        <w:rPr>
          <w:rFonts w:hint="eastAsia" w:ascii="Times New Roman" w:hAnsi="Times New Roman"/>
          <w:sz w:val="24"/>
          <w:szCs w:val="24"/>
          <w:lang w:val="en-US" w:eastAsia="zh-CN"/>
        </w:rPr>
        <w:t>20</w:t>
      </w:r>
      <w:r>
        <w:rPr>
          <w:rFonts w:ascii="Times New Roman" w:hAnsi="Times New Roman"/>
          <w:sz w:val="24"/>
          <w:szCs w:val="24"/>
        </w:rPr>
        <w:t>-</w:t>
      </w:r>
      <w:r>
        <w:rPr>
          <w:rFonts w:hint="eastAsia" w:ascii="Times New Roman" w:hAnsi="Times New Roman"/>
          <w:sz w:val="24"/>
          <w:szCs w:val="24"/>
          <w:lang w:val="en-US" w:eastAsia="zh-CN"/>
        </w:rPr>
        <w:t>02-21</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hint="eastAsia" w:ascii="Times New Roman" w:hAnsi="Times New Roman" w:eastAsia="宋体"/>
          <w:b/>
          <w:sz w:val="28"/>
          <w:szCs w:val="28"/>
          <w:lang w:eastAsia="zh-CN"/>
        </w:rPr>
      </w:pPr>
      <w:r>
        <w:rPr>
          <w:rFonts w:hint="eastAsia" w:ascii="Times New Roman" w:hAnsi="Times New Roman"/>
          <w:b/>
          <w:sz w:val="28"/>
          <w:szCs w:val="28"/>
        </w:rPr>
        <w:t>东莞市</w:t>
      </w:r>
      <w:r>
        <w:rPr>
          <w:rFonts w:hint="eastAsia" w:ascii="Times New Roman" w:hAnsi="Times New Roman"/>
          <w:b/>
          <w:sz w:val="28"/>
          <w:szCs w:val="28"/>
          <w:lang w:eastAsia="zh-CN"/>
        </w:rPr>
        <w:t>博利电业</w:t>
      </w:r>
      <w:r>
        <w:rPr>
          <w:rFonts w:hint="eastAsia" w:ascii="Times New Roman" w:hAnsi="Times New Roman"/>
          <w:b/>
          <w:sz w:val="28"/>
          <w:szCs w:val="28"/>
        </w:rPr>
        <w:t>有限公司</w:t>
      </w:r>
      <w:r>
        <w:rPr>
          <w:rFonts w:hint="eastAsia" w:ascii="Times New Roman" w:hAnsi="Times New Roman"/>
          <w:b/>
          <w:sz w:val="28"/>
          <w:szCs w:val="28"/>
          <w:lang w:eastAsia="zh-CN"/>
        </w:rPr>
        <w:t>建设</w:t>
      </w:r>
      <w:r>
        <w:rPr>
          <w:rFonts w:hint="eastAsia" w:ascii="Times New Roman" w:hAnsi="Times New Roman"/>
          <w:b/>
          <w:sz w:val="28"/>
          <w:szCs w:val="28"/>
        </w:rPr>
        <w:t>项目验收小组</w:t>
      </w:r>
      <w:r>
        <w:rPr>
          <w:rFonts w:hint="eastAsia" w:ascii="Times New Roman" w:hAnsi="Times New Roman"/>
          <w:b/>
          <w:sz w:val="28"/>
          <w:szCs w:val="28"/>
          <w:lang w:eastAsia="zh-CN"/>
        </w:rPr>
        <w:t>签到表</w:t>
      </w:r>
    </w:p>
    <w:tbl>
      <w:tblPr>
        <w:tblStyle w:val="8"/>
        <w:tblW w:w="10305" w:type="dxa"/>
        <w:tblInd w:w="-9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1757"/>
        <w:gridCol w:w="1468"/>
        <w:gridCol w:w="975"/>
        <w:gridCol w:w="1200"/>
        <w:gridCol w:w="2460"/>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验收单位</w:t>
            </w:r>
          </w:p>
        </w:tc>
        <w:tc>
          <w:tcPr>
            <w:tcW w:w="1757"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单位名称</w:t>
            </w:r>
          </w:p>
        </w:tc>
        <w:tc>
          <w:tcPr>
            <w:tcW w:w="1468"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联系电话</w:t>
            </w:r>
          </w:p>
        </w:tc>
        <w:tc>
          <w:tcPr>
            <w:tcW w:w="975" w:type="dxa"/>
            <w:vAlign w:val="center"/>
          </w:tcPr>
          <w:p>
            <w:pPr>
              <w:spacing w:line="360" w:lineRule="auto"/>
              <w:jc w:val="center"/>
              <w:rPr>
                <w:rFonts w:hint="eastAsia" w:ascii="Times New Roman" w:hAnsi="Times New Roman"/>
                <w:b/>
                <w:sz w:val="24"/>
                <w:szCs w:val="24"/>
                <w:lang w:eastAsia="zh-CN"/>
              </w:rPr>
            </w:pPr>
            <w:r>
              <w:rPr>
                <w:rFonts w:hint="eastAsia" w:ascii="Times New Roman" w:hAnsi="Times New Roman"/>
                <w:b/>
                <w:sz w:val="24"/>
                <w:szCs w:val="24"/>
                <w:lang w:eastAsia="zh-CN"/>
              </w:rPr>
              <w:t>职位</w:t>
            </w:r>
          </w:p>
        </w:tc>
        <w:tc>
          <w:tcPr>
            <w:tcW w:w="120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是否同意通过</w:t>
            </w:r>
          </w:p>
        </w:tc>
        <w:tc>
          <w:tcPr>
            <w:tcW w:w="24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身份证号码</w:t>
            </w:r>
          </w:p>
        </w:tc>
        <w:tc>
          <w:tcPr>
            <w:tcW w:w="1185"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签名确认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260" w:type="dxa"/>
            <w:vMerge w:val="restart"/>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建设单位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260" w:type="dxa"/>
            <w:vMerge w:val="continue"/>
            <w:vAlign w:val="center"/>
          </w:tcPr>
          <w:p>
            <w:pPr>
              <w:spacing w:line="360" w:lineRule="auto"/>
              <w:jc w:val="center"/>
              <w:rPr>
                <w:rFonts w:ascii="Times New Roman" w:hAnsi="Times New Roman"/>
                <w:sz w:val="24"/>
                <w:szCs w:val="24"/>
              </w:rPr>
            </w:pP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监测单位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bookmarkStart w:id="0" w:name="_GoBack"/>
            <w:bookmarkEnd w:id="0"/>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环评单位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260"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lang w:eastAsia="zh-CN"/>
              </w:rPr>
              <w:t>环保公司</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682752"/>
    <w:rsid w:val="05AC3C3B"/>
    <w:rsid w:val="07674F44"/>
    <w:rsid w:val="07BD493B"/>
    <w:rsid w:val="095C4067"/>
    <w:rsid w:val="0B50386E"/>
    <w:rsid w:val="0B593A5D"/>
    <w:rsid w:val="0D343BE4"/>
    <w:rsid w:val="0DDE1527"/>
    <w:rsid w:val="0DE32979"/>
    <w:rsid w:val="0E8743F5"/>
    <w:rsid w:val="0FCE5A89"/>
    <w:rsid w:val="114C068B"/>
    <w:rsid w:val="123D1278"/>
    <w:rsid w:val="12D9070B"/>
    <w:rsid w:val="13201251"/>
    <w:rsid w:val="16CF11AC"/>
    <w:rsid w:val="19627BC8"/>
    <w:rsid w:val="1A2A0674"/>
    <w:rsid w:val="1AFD3DF1"/>
    <w:rsid w:val="1B2025A9"/>
    <w:rsid w:val="22C43CA5"/>
    <w:rsid w:val="253A7A7C"/>
    <w:rsid w:val="26547E6C"/>
    <w:rsid w:val="28FE0F04"/>
    <w:rsid w:val="2CC47CD2"/>
    <w:rsid w:val="2D686495"/>
    <w:rsid w:val="2EB55303"/>
    <w:rsid w:val="2F721B86"/>
    <w:rsid w:val="34313947"/>
    <w:rsid w:val="34444695"/>
    <w:rsid w:val="36027ECC"/>
    <w:rsid w:val="39223B63"/>
    <w:rsid w:val="39D75F5B"/>
    <w:rsid w:val="3A914185"/>
    <w:rsid w:val="3B885DD3"/>
    <w:rsid w:val="3F3573BE"/>
    <w:rsid w:val="406B0E51"/>
    <w:rsid w:val="431026E4"/>
    <w:rsid w:val="43F8288A"/>
    <w:rsid w:val="48C519D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6232E78"/>
    <w:rsid w:val="78AD7F10"/>
    <w:rsid w:val="7AEF43FB"/>
    <w:rsid w:val="7D5F24F3"/>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2</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2020-03-16T03:12:44Z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