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石拓塑胶制品</w:t>
      </w:r>
      <w:r>
        <w:rPr>
          <w:rFonts w:hint="eastAsia" w:ascii="Times New Roman"/>
          <w:b/>
          <w:sz w:val="28"/>
          <w:szCs w:val="28"/>
        </w:rPr>
        <w:t>有限公司</w:t>
      </w:r>
      <w:r>
        <w:rPr>
          <w:rFonts w:hint="eastAsia" w:ascii="Times New Roman"/>
          <w:b/>
          <w:sz w:val="28"/>
          <w:szCs w:val="28"/>
          <w:lang w:eastAsia="zh-CN"/>
        </w:rPr>
        <w:t>（一期）建设</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12</w:t>
      </w:r>
      <w:r>
        <w:rPr>
          <w:rFonts w:hint="eastAsia" w:ascii="Times New Roman"/>
          <w:sz w:val="24"/>
          <w:szCs w:val="24"/>
        </w:rPr>
        <w:t>月</w:t>
      </w:r>
      <w:r>
        <w:rPr>
          <w:rFonts w:hint="eastAsia" w:ascii="Times New Roman"/>
          <w:sz w:val="24"/>
          <w:szCs w:val="24"/>
          <w:lang w:val="en-US" w:eastAsia="zh-CN"/>
        </w:rPr>
        <w:t>29</w:t>
      </w:r>
      <w:r>
        <w:rPr>
          <w:rFonts w:hint="eastAsia" w:ascii="Times New Roman"/>
          <w:sz w:val="24"/>
          <w:szCs w:val="24"/>
        </w:rPr>
        <w:t>日东莞市</w:t>
      </w:r>
      <w:r>
        <w:rPr>
          <w:rFonts w:hint="eastAsia" w:ascii="Times New Roman"/>
          <w:sz w:val="24"/>
          <w:szCs w:val="24"/>
          <w:lang w:eastAsia="zh-CN"/>
        </w:rPr>
        <w:t>石拓塑胶制品</w:t>
      </w:r>
      <w:r>
        <w:rPr>
          <w:rFonts w:hint="eastAsia" w:ascii="Times New Roman"/>
          <w:sz w:val="24"/>
          <w:szCs w:val="24"/>
        </w:rPr>
        <w:t>有限公</w:t>
      </w:r>
      <w:r>
        <w:rPr>
          <w:rFonts w:hint="eastAsia" w:ascii="Times New Roman"/>
          <w:i w:val="0"/>
          <w:iCs w:val="0"/>
          <w:sz w:val="24"/>
          <w:szCs w:val="24"/>
          <w:lang w:eastAsia="zh-CN"/>
        </w:rPr>
        <w:t>司</w:t>
      </w:r>
      <w:r>
        <w:rPr>
          <w:rFonts w:hint="eastAsia" w:ascii="Times New Roman"/>
          <w:sz w:val="24"/>
          <w:szCs w:val="24"/>
        </w:rPr>
        <w:t>根据东莞市</w:t>
      </w:r>
      <w:r>
        <w:rPr>
          <w:rFonts w:hint="eastAsia" w:ascii="Times New Roman"/>
          <w:sz w:val="24"/>
          <w:szCs w:val="24"/>
          <w:lang w:eastAsia="zh-CN"/>
        </w:rPr>
        <w:t>石拓塑胶制品</w:t>
      </w:r>
      <w:r>
        <w:rPr>
          <w:rFonts w:hint="eastAsia" w:ascii="Times New Roman"/>
          <w:sz w:val="24"/>
          <w:szCs w:val="24"/>
        </w:rPr>
        <w:t>有限公司</w:t>
      </w:r>
      <w:r>
        <w:rPr>
          <w:rFonts w:hint="eastAsia" w:ascii="Times New Roman"/>
          <w:sz w:val="24"/>
          <w:szCs w:val="24"/>
          <w:lang w:eastAsia="zh-CN"/>
        </w:rPr>
        <w:t>（一期）建设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石拓塑胶制品</w:t>
      </w:r>
      <w:r>
        <w:rPr>
          <w:rFonts w:hint="eastAsia" w:cs="Times New Roman"/>
        </w:rPr>
        <w:t>有限公司位</w:t>
      </w:r>
      <w:r>
        <w:rPr>
          <w:rFonts w:hint="eastAsia" w:cs="Times New Roman"/>
          <w:lang w:eastAsia="zh-CN"/>
        </w:rPr>
        <w:t>广东省</w:t>
      </w:r>
      <w:r>
        <w:rPr>
          <w:rFonts w:hint="eastAsia" w:cs="Times New Roman"/>
        </w:rPr>
        <w:t>于</w:t>
      </w:r>
      <w:r>
        <w:rPr>
          <w:rFonts w:hint="eastAsia" w:cs="Times New Roman"/>
          <w:color w:val="000000"/>
          <w:lang w:eastAsia="zh-CN"/>
        </w:rPr>
        <w:t>东莞市虎门镇怀德大埔路</w:t>
      </w:r>
      <w:r>
        <w:rPr>
          <w:rFonts w:hint="eastAsia" w:cs="Times New Roman"/>
          <w:color w:val="000000"/>
          <w:lang w:val="en-US" w:eastAsia="zh-CN"/>
        </w:rPr>
        <w:t>6号401室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50</w:t>
      </w:r>
      <w:r>
        <w:rPr>
          <w:rFonts w:cs="Times New Roman"/>
          <w:bCs/>
          <w:color w:val="000000"/>
        </w:rPr>
        <w:t>′</w:t>
      </w:r>
      <w:r>
        <w:rPr>
          <w:rFonts w:hint="eastAsia" w:cs="Times New Roman"/>
          <w:bCs/>
          <w:color w:val="000000"/>
          <w:lang w:val="en-US" w:eastAsia="zh-CN"/>
        </w:rPr>
        <w:t>7.95</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31.95</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一期</w:t>
      </w:r>
      <w:r>
        <w:rPr>
          <w:rFonts w:hint="eastAsia" w:cs="Times New Roman"/>
        </w:rPr>
        <w:t>项目所在厂房为租用，占地面积</w:t>
      </w:r>
      <w:r>
        <w:rPr>
          <w:rFonts w:hint="eastAsia" w:cs="Times New Roman"/>
          <w:lang w:val="en-US" w:eastAsia="zh-CN"/>
        </w:rPr>
        <w:t>1400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1400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15</w:t>
      </w:r>
      <w:r>
        <w:rPr>
          <w:rFonts w:hint="eastAsia" w:cs="Times New Roman"/>
        </w:rPr>
        <w:t>人，主要</w:t>
      </w:r>
      <w:r>
        <w:rPr>
          <w:rFonts w:hint="eastAsia" w:cs="Times New Roman"/>
          <w:lang w:eastAsia="zh-CN"/>
        </w:rPr>
        <w:t>从事塑胶配件的加工生产</w:t>
      </w:r>
      <w:r>
        <w:rPr>
          <w:rFonts w:hint="eastAsia" w:cs="Times New Roman"/>
        </w:rPr>
        <w:t>，年</w:t>
      </w:r>
      <w:r>
        <w:rPr>
          <w:rFonts w:hint="eastAsia" w:cs="Times New Roman"/>
          <w:lang w:eastAsia="zh-CN"/>
        </w:rPr>
        <w:t>产量为</w:t>
      </w:r>
      <w:r>
        <w:rPr>
          <w:rFonts w:hint="eastAsia" w:cs="Times New Roman"/>
          <w:lang w:val="en-US" w:eastAsia="zh-CN"/>
        </w:rPr>
        <w:t>24万个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石拓塑胶制品</w:t>
      </w:r>
      <w:r>
        <w:rPr>
          <w:rFonts w:hint="eastAsia" w:cs="Times New Roman"/>
          <w:color w:val="000000"/>
        </w:rPr>
        <w:t>有限公司于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9</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石拓塑胶制品</w:t>
      </w:r>
      <w:r>
        <w:rPr>
          <w:rFonts w:hint="eastAsia" w:cs="Times New Roman"/>
          <w:color w:val="000000"/>
        </w:rPr>
        <w:t>有限公司建设项目环境影响报告表》，并通过了东莞市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19888</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lang w:eastAsia="zh-CN"/>
        </w:rPr>
        <w:t>一期</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11</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4.5</w:t>
      </w:r>
      <w:r>
        <w:rPr>
          <w:rFonts w:hint="eastAsia" w:ascii="Times New Roman"/>
          <w:sz w:val="24"/>
        </w:rPr>
        <w:t>万元，占总投资的</w:t>
      </w:r>
      <w:r>
        <w:rPr>
          <w:rFonts w:hint="eastAsia" w:ascii="Times New Roman" w:hAnsi="Times New Roman"/>
          <w:sz w:val="24"/>
          <w:lang w:val="en-US" w:eastAsia="zh-CN"/>
        </w:rPr>
        <w:t>9</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一期项目设备详情（附表）</w:t>
      </w:r>
    </w:p>
    <w:tbl>
      <w:tblPr>
        <w:tblStyle w:val="9"/>
        <w:tblW w:w="9075" w:type="dxa"/>
        <w:tblInd w:w="-3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5"/>
        <w:gridCol w:w="1095"/>
        <w:gridCol w:w="1245"/>
        <w:gridCol w:w="2160"/>
        <w:gridCol w:w="196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序号</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设备名称</w:t>
            </w:r>
          </w:p>
        </w:tc>
        <w:tc>
          <w:tcPr>
            <w:tcW w:w="124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环评数量</w:t>
            </w:r>
          </w:p>
        </w:tc>
        <w:tc>
          <w:tcPr>
            <w:tcW w:w="216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一期验收设备数量</w:t>
            </w:r>
          </w:p>
        </w:tc>
        <w:tc>
          <w:tcPr>
            <w:tcW w:w="196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未验收设备数量</w:t>
            </w:r>
          </w:p>
        </w:tc>
        <w:tc>
          <w:tcPr>
            <w:tcW w:w="12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混料机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196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0</w:t>
            </w:r>
          </w:p>
        </w:tc>
        <w:tc>
          <w:tcPr>
            <w:tcW w:w="12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混料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196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2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注塑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3</w:t>
            </w:r>
          </w:p>
        </w:tc>
        <w:tc>
          <w:tcPr>
            <w:tcW w:w="70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配套</w:t>
            </w:r>
          </w:p>
        </w:tc>
        <w:tc>
          <w:tcPr>
            <w:tcW w:w="109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烘料机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12台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8台</w:t>
            </w:r>
          </w:p>
        </w:tc>
        <w:tc>
          <w:tcPr>
            <w:tcW w:w="196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4台</w:t>
            </w:r>
          </w:p>
        </w:tc>
        <w:tc>
          <w:tcPr>
            <w:tcW w:w="12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烘料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4</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11台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9台</w:t>
            </w:r>
          </w:p>
        </w:tc>
        <w:tc>
          <w:tcPr>
            <w:tcW w:w="196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230"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碎料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5</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火花机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6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w:t>
            </w:r>
          </w:p>
        </w:tc>
        <w:tc>
          <w:tcPr>
            <w:tcW w:w="123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6</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铣床</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6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w:t>
            </w:r>
          </w:p>
        </w:tc>
        <w:tc>
          <w:tcPr>
            <w:tcW w:w="123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7</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磨床</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6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w:t>
            </w:r>
          </w:p>
        </w:tc>
        <w:tc>
          <w:tcPr>
            <w:tcW w:w="123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8</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台钻</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2台</w:t>
            </w:r>
          </w:p>
        </w:tc>
        <w:tc>
          <w:tcPr>
            <w:tcW w:w="196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w:t>
            </w:r>
          </w:p>
        </w:tc>
        <w:tc>
          <w:tcPr>
            <w:tcW w:w="1230" w:type="dxa"/>
            <w:vMerge w:val="continue"/>
            <w:vAlign w:val="center"/>
          </w:tcPr>
          <w:p>
            <w:pPr>
              <w:spacing w:line="360" w:lineRule="auto"/>
              <w:jc w:val="center"/>
              <w:rPr>
                <w:rFonts w:hint="eastAsia" w:ascii="Times New Roman"/>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9</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空压机</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6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w:t>
            </w:r>
          </w:p>
        </w:tc>
        <w:tc>
          <w:tcPr>
            <w:tcW w:w="1230" w:type="dxa"/>
            <w:vMerge w:val="restart"/>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辅助设备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10</w:t>
            </w:r>
          </w:p>
        </w:tc>
        <w:tc>
          <w:tcPr>
            <w:tcW w:w="1800" w:type="dxa"/>
            <w:gridSpan w:val="2"/>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eastAsia="zh-CN"/>
              </w:rPr>
              <w:t>冷却水塔</w:t>
            </w:r>
          </w:p>
        </w:tc>
        <w:tc>
          <w:tcPr>
            <w:tcW w:w="1245"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2160" w:type="dxa"/>
            <w:vAlign w:val="center"/>
          </w:tcPr>
          <w:p>
            <w:pPr>
              <w:spacing w:line="360" w:lineRule="auto"/>
              <w:jc w:val="center"/>
              <w:rPr>
                <w:rFonts w:hint="default" w:ascii="Times New Roman"/>
                <w:sz w:val="24"/>
                <w:szCs w:val="24"/>
                <w:vertAlign w:val="baseline"/>
                <w:lang w:val="en-US" w:eastAsia="zh-CN"/>
              </w:rPr>
            </w:pPr>
            <w:r>
              <w:rPr>
                <w:rFonts w:hint="eastAsia" w:ascii="Times New Roman"/>
                <w:sz w:val="24"/>
                <w:szCs w:val="24"/>
                <w:vertAlign w:val="baseline"/>
                <w:lang w:val="en-US" w:eastAsia="zh-CN"/>
              </w:rPr>
              <w:t>1台</w:t>
            </w:r>
          </w:p>
        </w:tc>
        <w:tc>
          <w:tcPr>
            <w:tcW w:w="1965" w:type="dxa"/>
            <w:vAlign w:val="center"/>
          </w:tcPr>
          <w:p>
            <w:pPr>
              <w:spacing w:line="360" w:lineRule="auto"/>
              <w:jc w:val="center"/>
              <w:rPr>
                <w:rFonts w:hint="eastAsia" w:ascii="Times New Roman"/>
                <w:sz w:val="24"/>
                <w:szCs w:val="24"/>
                <w:vertAlign w:val="baseline"/>
                <w:lang w:eastAsia="zh-CN"/>
              </w:rPr>
            </w:pPr>
            <w:r>
              <w:rPr>
                <w:rFonts w:hint="eastAsia" w:ascii="Times New Roman"/>
                <w:sz w:val="24"/>
                <w:szCs w:val="24"/>
                <w:vertAlign w:val="baseline"/>
                <w:lang w:val="en-US" w:eastAsia="zh-CN"/>
              </w:rPr>
              <w:t>0</w:t>
            </w:r>
          </w:p>
        </w:tc>
        <w:tc>
          <w:tcPr>
            <w:tcW w:w="1230" w:type="dxa"/>
            <w:vMerge w:val="continue"/>
            <w:vAlign w:val="center"/>
          </w:tcPr>
          <w:p>
            <w:pPr>
              <w:spacing w:line="360" w:lineRule="auto"/>
              <w:jc w:val="center"/>
              <w:rPr>
                <w:rFonts w:hint="eastAsia" w:ascii="Times New Roman"/>
                <w:sz w:val="24"/>
                <w:szCs w:val="24"/>
                <w:vertAlign w:val="baseline"/>
                <w:lang w:eastAsia="zh-CN"/>
              </w:rPr>
            </w:pPr>
          </w:p>
        </w:tc>
      </w:tr>
    </w:tbl>
    <w:p>
      <w:pPr>
        <w:spacing w:line="360" w:lineRule="auto"/>
        <w:ind w:firstLine="480" w:firstLineChars="200"/>
        <w:rPr>
          <w:rFonts w:hint="eastAsia" w:ascii="Times New Roman"/>
          <w:sz w:val="24"/>
          <w:szCs w:val="24"/>
          <w:lang w:eastAsia="zh-CN"/>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注塑工序产生的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废气排放执行《合成树脂工业污染物排放标准》（GB31572-2015）表4中大气污染物排放限值要求。</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东莞市三谱检测技术有限公司</w:t>
      </w:r>
      <w:r>
        <w:rPr>
          <w:rFonts w:hint="eastAsia" w:ascii="Times New Roman" w:hAnsi="Times New Roman"/>
          <w:sz w:val="24"/>
          <w:szCs w:val="24"/>
        </w:rPr>
        <w:t>出具的验收检测报告（监测报告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SPJC20191226001</w:t>
      </w:r>
      <w:r>
        <w:rPr>
          <w:rFonts w:hint="eastAsia" w:ascii="宋体" w:hAnsi="宋体" w:cs="宋体"/>
          <w:sz w:val="24"/>
          <w:szCs w:val="24"/>
          <w:lang w:eastAsia="zh-CN"/>
        </w:rPr>
        <w:t>】号</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80</w:t>
      </w:r>
      <w:r>
        <w:rPr>
          <w:rFonts w:ascii="Times New Roman" w:hAnsi="Times New Roman"/>
          <w:sz w:val="24"/>
          <w:szCs w:val="24"/>
        </w:rPr>
        <w:t>%</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不排放生产性废水。冷却用水循环使用，不外排。</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达到广东省《水污染物排放限值》（DB44/26-2001）第二时段三级标准后排入市政截污管网，引至东莞市虎门宁洲污水处理厂处理。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ascii="宋体" w:hAnsi="宋体" w:eastAsia="宋体" w:cs="宋体"/>
          <w:sz w:val="24"/>
          <w:szCs w:val="24"/>
        </w:rPr>
        <w:t>注塑工序产生的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由管道引至</w:t>
      </w:r>
      <w:r>
        <w:rPr>
          <w:rFonts w:ascii="宋体" w:hAnsi="宋体" w:eastAsia="宋体" w:cs="宋体"/>
          <w:sz w:val="24"/>
          <w:szCs w:val="24"/>
        </w:rPr>
        <w:t>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《合成树脂工业污染物排放标准》（GB31572-2015）表4中大气污染物排放限值要求。</w:t>
      </w:r>
      <w:r>
        <w:rPr>
          <w:rFonts w:hint="eastAsia" w:ascii="Times New Roman" w:hAnsi="Times New Roman"/>
          <w:sz w:val="24"/>
          <w:szCs w:val="24"/>
        </w:rPr>
        <w:t>见监测报告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SPJC20191226001</w:t>
      </w:r>
      <w:r>
        <w:rPr>
          <w:rFonts w:hint="eastAsia" w:ascii="宋体" w:hAnsi="宋体" w:cs="宋体"/>
          <w:sz w:val="24"/>
          <w:szCs w:val="24"/>
          <w:lang w:eastAsia="zh-CN"/>
        </w:rPr>
        <w:t>】号</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类标准。监测报告</w:t>
      </w:r>
      <w:r>
        <w:rPr>
          <w:rFonts w:hint="eastAsia" w:ascii="Times New Roman" w:hAnsi="Times New Roman"/>
          <w:sz w:val="24"/>
          <w:szCs w:val="24"/>
          <w:lang w:val="en-US" w:eastAsia="zh-CN"/>
        </w:rPr>
        <w:t xml:space="preserve"> </w:t>
      </w:r>
      <w:r>
        <w:rPr>
          <w:rFonts w:hint="eastAsia" w:ascii="宋体" w:hAnsi="宋体" w:cs="宋体"/>
          <w:sz w:val="24"/>
          <w:szCs w:val="24"/>
          <w:lang w:eastAsia="zh-CN"/>
        </w:rPr>
        <w:t>三谱</w:t>
      </w:r>
      <w:r>
        <w:rPr>
          <w:rFonts w:hint="eastAsia" w:ascii="宋体" w:hAnsi="宋体" w:eastAsia="宋体" w:cs="宋体"/>
          <w:sz w:val="24"/>
          <w:szCs w:val="24"/>
        </w:rPr>
        <w:t>（验字）</w:t>
      </w:r>
      <w:r>
        <w:rPr>
          <w:rFonts w:hint="eastAsia" w:ascii="宋体" w:hAnsi="宋体" w:cs="宋体"/>
          <w:sz w:val="24"/>
          <w:szCs w:val="24"/>
          <w:lang w:eastAsia="zh-CN"/>
        </w:rPr>
        <w:t>第【</w:t>
      </w:r>
      <w:r>
        <w:rPr>
          <w:rFonts w:hint="eastAsia" w:ascii="宋体" w:hAnsi="宋体" w:cs="宋体"/>
          <w:sz w:val="24"/>
          <w:szCs w:val="24"/>
          <w:lang w:val="en-US" w:eastAsia="zh-CN"/>
        </w:rPr>
        <w:t>SPJC20191226001</w:t>
      </w:r>
      <w:r>
        <w:rPr>
          <w:rFonts w:hint="eastAsia" w:ascii="宋体" w:hAnsi="宋体" w:cs="宋体"/>
          <w:sz w:val="24"/>
          <w:szCs w:val="24"/>
          <w:lang w:eastAsia="zh-CN"/>
        </w:rPr>
        <w:t>】号</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东莞市石拓塑胶制品有限公司</w:t>
      </w:r>
      <w:bookmarkStart w:id="0" w:name="_GoBack"/>
      <w:bookmarkEnd w:id="0"/>
      <w:r>
        <w:rPr>
          <w:rFonts w:hint="eastAsia" w:ascii="Times New Roman"/>
          <w:sz w:val="24"/>
          <w:szCs w:val="24"/>
          <w:lang w:eastAsia="zh-CN"/>
        </w:rPr>
        <w:t>一期</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一期项目不从事夜间生产，如若项目需从事夜间生产，再申报夜间噪音达标验收。一期项目因设备未回齐，未引进设备有（注塑机</w:t>
      </w:r>
      <w:r>
        <w:rPr>
          <w:rFonts w:hint="eastAsia" w:ascii="Times New Roman" w:hAnsi="Times New Roman"/>
          <w:sz w:val="24"/>
          <w:szCs w:val="24"/>
          <w:lang w:val="en-US" w:eastAsia="zh-CN"/>
        </w:rPr>
        <w:t>4台、烘料机4台、碎料机2台</w:t>
      </w:r>
      <w:r>
        <w:rPr>
          <w:rFonts w:hint="eastAsia" w:ascii="Times New Roman" w:hAnsi="Times New Roman"/>
          <w:sz w:val="24"/>
          <w:szCs w:val="24"/>
          <w:lang w:eastAsia="zh-CN"/>
        </w:rPr>
        <w:t>）暂不验收，待设备回齐验收再向贵局申请二次验收。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石拓塑胶制品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12-29</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石拓塑胶制品</w:t>
      </w:r>
      <w:r>
        <w:rPr>
          <w:rFonts w:hint="eastAsia" w:ascii="Times New Roman" w:hAnsi="Times New Roman"/>
          <w:b/>
          <w:sz w:val="28"/>
          <w:szCs w:val="28"/>
        </w:rPr>
        <w:t>有限公司</w:t>
      </w:r>
      <w:r>
        <w:rPr>
          <w:rFonts w:hint="eastAsia" w:ascii="Times New Roman" w:hAnsi="Times New Roman"/>
          <w:b/>
          <w:sz w:val="28"/>
          <w:szCs w:val="28"/>
          <w:lang w:eastAsia="zh-CN"/>
        </w:rPr>
        <w:t>一期建设</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pPr w:leftFromText="180" w:rightFromText="180" w:vertAnchor="text" w:horzAnchor="page" w:tblpX="1465" w:tblpY="276"/>
        <w:tblOverlap w:val="never"/>
        <w:tblW w:w="91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5"/>
        <w:gridCol w:w="2032"/>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0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2032"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305"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2032"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305" w:type="dxa"/>
            <w:vMerge w:val="continue"/>
            <w:vAlign w:val="center"/>
          </w:tcPr>
          <w:p>
            <w:pPr>
              <w:spacing w:line="360" w:lineRule="auto"/>
              <w:jc w:val="center"/>
              <w:rPr>
                <w:rFonts w:ascii="Times New Roman" w:hAnsi="Times New Roman"/>
                <w:sz w:val="24"/>
                <w:szCs w:val="24"/>
              </w:rPr>
            </w:pPr>
          </w:p>
        </w:tc>
        <w:tc>
          <w:tcPr>
            <w:tcW w:w="2032"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305"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2032"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305"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2032"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305"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2032"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25A407D"/>
    <w:rsid w:val="031D4E8F"/>
    <w:rsid w:val="05682752"/>
    <w:rsid w:val="05AC3C3B"/>
    <w:rsid w:val="07674F44"/>
    <w:rsid w:val="07BD493B"/>
    <w:rsid w:val="095C4067"/>
    <w:rsid w:val="0B50386E"/>
    <w:rsid w:val="0B593A5D"/>
    <w:rsid w:val="0D343BE4"/>
    <w:rsid w:val="0DDE1527"/>
    <w:rsid w:val="0DE32979"/>
    <w:rsid w:val="0FCE5A89"/>
    <w:rsid w:val="114C068B"/>
    <w:rsid w:val="123D1278"/>
    <w:rsid w:val="12D9070B"/>
    <w:rsid w:val="13201251"/>
    <w:rsid w:val="16CF11AC"/>
    <w:rsid w:val="19627BC8"/>
    <w:rsid w:val="1A2A0674"/>
    <w:rsid w:val="1AFD3DF1"/>
    <w:rsid w:val="1B2025A9"/>
    <w:rsid w:val="1E7D7C46"/>
    <w:rsid w:val="1EB31C74"/>
    <w:rsid w:val="22C43CA5"/>
    <w:rsid w:val="25130BA2"/>
    <w:rsid w:val="253A7A7C"/>
    <w:rsid w:val="26547E6C"/>
    <w:rsid w:val="28FE0F04"/>
    <w:rsid w:val="29F34715"/>
    <w:rsid w:val="2CC47CD2"/>
    <w:rsid w:val="2D686495"/>
    <w:rsid w:val="2EB55303"/>
    <w:rsid w:val="2F721B86"/>
    <w:rsid w:val="34313947"/>
    <w:rsid w:val="36027ECC"/>
    <w:rsid w:val="39223B63"/>
    <w:rsid w:val="39D75F5B"/>
    <w:rsid w:val="3A914185"/>
    <w:rsid w:val="3B885DD3"/>
    <w:rsid w:val="3D727D7C"/>
    <w:rsid w:val="3DE152DC"/>
    <w:rsid w:val="3F3573BE"/>
    <w:rsid w:val="406B0E51"/>
    <w:rsid w:val="411D6FAF"/>
    <w:rsid w:val="416B1984"/>
    <w:rsid w:val="431026E4"/>
    <w:rsid w:val="43F8288A"/>
    <w:rsid w:val="475C30FD"/>
    <w:rsid w:val="47733491"/>
    <w:rsid w:val="48C519DE"/>
    <w:rsid w:val="4AD63029"/>
    <w:rsid w:val="4D925BF8"/>
    <w:rsid w:val="53177114"/>
    <w:rsid w:val="57232187"/>
    <w:rsid w:val="582E11CE"/>
    <w:rsid w:val="59971B00"/>
    <w:rsid w:val="5A242D9F"/>
    <w:rsid w:val="5D5242FD"/>
    <w:rsid w:val="60ED1601"/>
    <w:rsid w:val="63B50DE9"/>
    <w:rsid w:val="67486874"/>
    <w:rsid w:val="67D61337"/>
    <w:rsid w:val="6E801591"/>
    <w:rsid w:val="6ED22FFA"/>
    <w:rsid w:val="70CB01F1"/>
    <w:rsid w:val="710961DF"/>
    <w:rsid w:val="711C32AE"/>
    <w:rsid w:val="71F3427A"/>
    <w:rsid w:val="734A210C"/>
    <w:rsid w:val="738A2110"/>
    <w:rsid w:val="74426503"/>
    <w:rsid w:val="76232E78"/>
    <w:rsid w:val="78AD7F10"/>
    <w:rsid w:val="79553AA7"/>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2020-01-09T01:44:29Z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